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Strängnäs kommunfullmäktige</w:t>
      </w:r>
    </w:p>
    <w:p>
      <w:pPr>
        <w:pStyle w:val="Heading1"/>
      </w:pPr>
      <w:r>
        <w:t xml:space="preserve">Införa valfrihet enligt LOV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Strängnäs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Strängnäs saknar LOV i hemtjänst (Socialstyrelsen 2024). Äldre saknar valmöjligheter trots lagstiftning som möjliggör det.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Strängnäs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 hemtjänsten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godkänna minst tre externa utförare.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informera alla brukare om valmöjligheter.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kvalitet och brukarnöjdhet efter ett år.</w:t>
      </w:r>
    </w:p>
    <w:p>
      <w:pPr>
        <w:spacing w:before="360"/>
      </w:pPr>
    </w:p>
    <w:p>
      <w:r>
        <w:t xml:space="preserve">Strängnäs,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Strängnäs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2026-07-14T05:09:33.031Z</dcterms:created>
  <dcterms:modified xsi:type="dcterms:W3CDTF">2026-07-14T05:09:33.031Z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